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907F05">
            <w:pPr>
              <w:pStyle w:val="Pieddepage"/>
              <w:tabs>
                <w:tab w:val="clear" w:pos="4536"/>
                <w:tab w:val="clear" w:pos="9072"/>
              </w:tabs>
              <w:jc w:val="cente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4pt;height:78.25pt">
                  <v:imagedata r:id="rId8" o:title="logo"/>
                </v:shape>
              </w:pic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7E64BF" w:rsidRDefault="007E64BF" w:rsidP="007E64BF">
      <w:pPr>
        <w:numPr>
          <w:ilvl w:val="0"/>
          <w:numId w:val="1"/>
        </w:numPr>
        <w:ind w:left="432" w:hanging="432"/>
        <w:jc w:val="both"/>
        <w:rPr>
          <w:rFonts w:ascii="Arial" w:hAnsi="Arial" w:cs="Arial"/>
        </w:rPr>
      </w:pPr>
      <w:r w:rsidRPr="00962FAE">
        <w:rPr>
          <w:rFonts w:ascii="Arial" w:hAnsi="Arial" w:cs="Arial"/>
        </w:rPr>
        <w:t xml:space="preserve">Monsieur </w:t>
      </w:r>
      <w:r w:rsidR="00045EEC">
        <w:rPr>
          <w:rFonts w:ascii="Arial" w:hAnsi="Arial" w:cs="Arial"/>
        </w:rPr>
        <w:t>Jean-Yves CASANO</w:t>
      </w:r>
      <w:r w:rsidRPr="00962FAE">
        <w:rPr>
          <w:rFonts w:ascii="Arial" w:hAnsi="Arial" w:cs="Arial"/>
        </w:rPr>
        <w:t xml:space="preserve">, Directeur </w:t>
      </w:r>
      <w:r w:rsidR="00045EEC">
        <w:rPr>
          <w:rFonts w:ascii="Arial" w:hAnsi="Arial" w:cs="Arial"/>
        </w:rPr>
        <w:t>par intérim</w:t>
      </w:r>
    </w:p>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B332C3" w:rsidRDefault="00942752" w:rsidP="00D440B0">
      <w:pPr>
        <w:rPr>
          <w:rFonts w:ascii="Arial" w:hAnsi="Arial" w:cs="Arial"/>
          <w:b/>
        </w:rPr>
      </w:pPr>
      <w:r w:rsidRPr="00942752">
        <w:rPr>
          <w:rFonts w:ascii="Arial" w:hAnsi="Arial" w:cs="Arial"/>
          <w:b/>
        </w:rPr>
        <w:t>Fourniture, livraison sous emballage franco domicile, désemballage, installation (montage) et implantation de mobiliers pour CGSS – site PFS GOPAL</w:t>
      </w:r>
    </w:p>
    <w:p w:rsidR="00942752" w:rsidRDefault="00942752" w:rsidP="00D440B0">
      <w:pPr>
        <w:rPr>
          <w:rFonts w:ascii="Arial" w:hAnsi="Arial" w:cs="Arial"/>
          <w:b/>
        </w:rPr>
      </w:pPr>
    </w:p>
    <w:p w:rsidR="00D440B0" w:rsidRDefault="00D440B0" w:rsidP="00D440B0">
      <w:pPr>
        <w:rPr>
          <w:rFonts w:ascii="Arial" w:hAnsi="Arial" w:cs="Arial"/>
          <w:b/>
        </w:rPr>
      </w:pPr>
      <w:r w:rsidRPr="007C23B2">
        <w:rPr>
          <w:rFonts w:ascii="Arial" w:hAnsi="Arial" w:cs="Arial"/>
          <w:b/>
        </w:rPr>
        <w:t>Lot n°</w:t>
      </w:r>
      <w:r w:rsidR="004A46DA">
        <w:rPr>
          <w:rFonts w:ascii="Arial" w:hAnsi="Arial" w:cs="Arial"/>
          <w:b/>
        </w:rPr>
        <w:t>2</w:t>
      </w:r>
      <w:r w:rsidRPr="007C23B2">
        <w:rPr>
          <w:rFonts w:ascii="Arial" w:hAnsi="Arial" w:cs="Arial"/>
          <w:b/>
        </w:rPr>
        <w:t xml:space="preserve"> –</w:t>
      </w:r>
      <w:r>
        <w:rPr>
          <w:rFonts w:ascii="Arial" w:hAnsi="Arial" w:cs="Arial"/>
          <w:b/>
        </w:rPr>
        <w:t xml:space="preserve"> </w:t>
      </w:r>
      <w:r w:rsidR="00662218">
        <w:rPr>
          <w:rFonts w:ascii="Arial" w:hAnsi="Arial" w:cs="Arial"/>
          <w:b/>
        </w:rPr>
        <w:t xml:space="preserve"> </w:t>
      </w:r>
      <w:r w:rsidR="004A46DA" w:rsidRPr="004A46DA">
        <w:rPr>
          <w:rFonts w:ascii="Arial" w:hAnsi="Arial" w:cs="Arial"/>
          <w:b/>
        </w:rPr>
        <w:t>Fauteuils et chaises des postes de travail et de la salle de réunion</w:t>
      </w:r>
    </w:p>
    <w:p w:rsidR="004A46DA" w:rsidRDefault="004A46DA" w:rsidP="00D440B0">
      <w:pPr>
        <w:rPr>
          <w:rFonts w:ascii="Arial" w:hAnsi="Arial" w:cs="Arial"/>
          <w:b/>
        </w:rPr>
      </w:pPr>
    </w:p>
    <w:p w:rsidR="00D440B0" w:rsidRDefault="00D440B0" w:rsidP="00D440B0">
      <w:pPr>
        <w:rPr>
          <w:rFonts w:ascii="Arial" w:hAnsi="Arial" w:cs="Arial"/>
          <w:b/>
        </w:rPr>
      </w:pPr>
      <w:r>
        <w:rPr>
          <w:rFonts w:ascii="Arial" w:hAnsi="Arial" w:cs="Arial"/>
          <w:b/>
        </w:rPr>
        <w:t>N°2</w:t>
      </w:r>
      <w:r w:rsidR="00942752">
        <w:rPr>
          <w:rFonts w:ascii="Arial" w:hAnsi="Arial" w:cs="Arial"/>
          <w:b/>
        </w:rPr>
        <w:t>5</w:t>
      </w:r>
      <w:r>
        <w:rPr>
          <w:rFonts w:ascii="Arial" w:hAnsi="Arial" w:cs="Arial"/>
          <w:b/>
        </w:rPr>
        <w:t>-971-0</w:t>
      </w:r>
      <w:r w:rsidR="00942752">
        <w:rPr>
          <w:rFonts w:ascii="Arial" w:hAnsi="Arial" w:cs="Arial"/>
          <w:b/>
        </w:rPr>
        <w:t>03</w:t>
      </w:r>
      <w:r>
        <w:rPr>
          <w:rFonts w:ascii="Arial" w:hAnsi="Arial" w:cs="Arial"/>
          <w:b/>
        </w:rPr>
        <w:t>-0</w:t>
      </w:r>
      <w:r w:rsidR="00907F05">
        <w:rPr>
          <w:rFonts w:ascii="Arial" w:hAnsi="Arial" w:cs="Arial"/>
          <w:b/>
        </w:rPr>
        <w:t>2</w:t>
      </w:r>
      <w:bookmarkStart w:id="0" w:name="_GoBack"/>
      <w:bookmarkEnd w:id="0"/>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Pr="008C1197" w:rsidRDefault="00201F6F" w:rsidP="00201F6F">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07F0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942752">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MAPA</w:t>
          </w:r>
          <w:r w:rsidR="007E64BF" w:rsidRPr="003149B5">
            <w:rPr>
              <w:rFonts w:ascii="Arial" w:hAnsi="Arial" w:cs="Arial"/>
              <w:b/>
              <w:bCs/>
              <w:i/>
              <w:iCs/>
            </w:rPr>
            <w:t xml:space="preserve"> </w:t>
          </w:r>
          <w:r w:rsidR="007E64BF">
            <w:rPr>
              <w:rFonts w:ascii="Arial" w:hAnsi="Arial" w:cs="Arial"/>
              <w:b/>
              <w:bCs/>
              <w:i/>
              <w:iCs/>
            </w:rPr>
            <w:t>n°2</w:t>
          </w:r>
          <w:r w:rsidR="00942752">
            <w:rPr>
              <w:rFonts w:ascii="Arial" w:hAnsi="Arial" w:cs="Arial"/>
              <w:b/>
              <w:bCs/>
              <w:i/>
              <w:iCs/>
            </w:rPr>
            <w:t>5</w:t>
          </w:r>
          <w:r w:rsidR="007E64BF">
            <w:rPr>
              <w:rFonts w:ascii="Arial" w:hAnsi="Arial" w:cs="Arial"/>
              <w:b/>
              <w:bCs/>
              <w:i/>
              <w:iCs/>
            </w:rPr>
            <w:t>-971-0</w:t>
          </w:r>
          <w:r w:rsidR="00942752">
            <w:rPr>
              <w:rFonts w:ascii="Arial" w:hAnsi="Arial" w:cs="Arial"/>
              <w:b/>
              <w:bCs/>
              <w:i/>
              <w:iCs/>
            </w:rPr>
            <w:t>03</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7F05">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7F05">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585"/>
    <w:rsid w:val="0000723E"/>
    <w:rsid w:val="000227D0"/>
    <w:rsid w:val="00036184"/>
    <w:rsid w:val="00045EEC"/>
    <w:rsid w:val="00050CDC"/>
    <w:rsid w:val="000625CC"/>
    <w:rsid w:val="00072910"/>
    <w:rsid w:val="00092585"/>
    <w:rsid w:val="000B7A06"/>
    <w:rsid w:val="000D4E2E"/>
    <w:rsid w:val="000E0EFF"/>
    <w:rsid w:val="000E3A79"/>
    <w:rsid w:val="000F3F78"/>
    <w:rsid w:val="000F7654"/>
    <w:rsid w:val="0013398C"/>
    <w:rsid w:val="001535C7"/>
    <w:rsid w:val="0015635C"/>
    <w:rsid w:val="00171BF1"/>
    <w:rsid w:val="00191902"/>
    <w:rsid w:val="001A1D05"/>
    <w:rsid w:val="001A5A4C"/>
    <w:rsid w:val="001C1FEF"/>
    <w:rsid w:val="001D25B2"/>
    <w:rsid w:val="001D58F2"/>
    <w:rsid w:val="001E68EF"/>
    <w:rsid w:val="001F35D5"/>
    <w:rsid w:val="00201F6F"/>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46DA"/>
    <w:rsid w:val="004A6D4B"/>
    <w:rsid w:val="004A7F71"/>
    <w:rsid w:val="004C221B"/>
    <w:rsid w:val="004E403E"/>
    <w:rsid w:val="005036C5"/>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62218"/>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8E0C07"/>
    <w:rsid w:val="009051AC"/>
    <w:rsid w:val="0090530B"/>
    <w:rsid w:val="00906660"/>
    <w:rsid w:val="00907F05"/>
    <w:rsid w:val="00912339"/>
    <w:rsid w:val="0091384B"/>
    <w:rsid w:val="0094174C"/>
    <w:rsid w:val="00942752"/>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332C3"/>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DACB3A7"/>
  <w15:docId w15:val="{97BD676A-D42A-434C-AFA9-7BD2CBAB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CCD0C-F05E-457B-9A2A-BD50A42FB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3537</Words>
  <Characters>19455</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LUBIN LAIKA (CGSS GUADELOUPE)</cp:lastModifiedBy>
  <cp:revision>34</cp:revision>
  <cp:lastPrinted>2019-04-05T18:39:00Z</cp:lastPrinted>
  <dcterms:created xsi:type="dcterms:W3CDTF">2020-07-01T12:14:00Z</dcterms:created>
  <dcterms:modified xsi:type="dcterms:W3CDTF">2025-01-16T13:04:00Z</dcterms:modified>
</cp:coreProperties>
</file>